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B6B78" w14:textId="77777777" w:rsidR="00D74760" w:rsidRDefault="00C76360">
      <w:pPr>
        <w:rPr>
          <w:b/>
          <w:u w:val="single"/>
        </w:rPr>
      </w:pPr>
      <w:r w:rsidRPr="00C76360">
        <w:rPr>
          <w:b/>
          <w:u w:val="single"/>
        </w:rPr>
        <w:t>Engaging Stakeholders in Student Enterprise</w:t>
      </w:r>
    </w:p>
    <w:p w14:paraId="65B6CB0F" w14:textId="77777777" w:rsidR="00C76360" w:rsidRPr="00C76360" w:rsidRDefault="006E6324">
      <w:pPr>
        <w:rPr>
          <w:b/>
        </w:rPr>
      </w:pPr>
      <w:r>
        <w:rPr>
          <w:b/>
        </w:rPr>
        <w:t>Context</w:t>
      </w:r>
      <w:r w:rsidR="00C76360" w:rsidRPr="00C76360">
        <w:rPr>
          <w:b/>
        </w:rPr>
        <w:t xml:space="preserve">: </w:t>
      </w:r>
    </w:p>
    <w:p w14:paraId="3098F104" w14:textId="77777777" w:rsidR="00C76360" w:rsidRDefault="00C76360">
      <w:r>
        <w:t xml:space="preserve">Upon taking a role where I was working solo on much of the enterprise activity at Durham University, it quickly became apparent that if we were to grow our services it would involve getting other stakeholders on board. </w:t>
      </w:r>
    </w:p>
    <w:p w14:paraId="7662F5E0" w14:textId="77777777" w:rsidR="006E6324" w:rsidRPr="006E6324" w:rsidRDefault="006E6324">
      <w:pPr>
        <w:rPr>
          <w:b/>
        </w:rPr>
      </w:pPr>
      <w:r w:rsidRPr="006E6324">
        <w:rPr>
          <w:b/>
        </w:rPr>
        <w:t>Action</w:t>
      </w:r>
      <w:r>
        <w:rPr>
          <w:b/>
        </w:rPr>
        <w:t>:</w:t>
      </w:r>
    </w:p>
    <w:p w14:paraId="4D7F80E5" w14:textId="77777777" w:rsidR="00162E9E" w:rsidRDefault="00C76360">
      <w:r>
        <w:t xml:space="preserve">To set up sustainable strategic partnerships, it requires mutually beneficial relationships to form. </w:t>
      </w:r>
      <w:r w:rsidR="006E6324">
        <w:t>To help me identify which stakeholders could potentially</w:t>
      </w:r>
      <w:r w:rsidR="00162E9E">
        <w:t xml:space="preserve"> want to engage with student enterprise</w:t>
      </w:r>
      <w:r w:rsidR="006E6324">
        <w:t xml:space="preserve"> and why, I created the template below. Using this template</w:t>
      </w:r>
      <w:r w:rsidR="00162E9E">
        <w:t xml:space="preserve"> </w:t>
      </w:r>
      <w:r w:rsidR="006E6324">
        <w:t xml:space="preserve">provided </w:t>
      </w:r>
      <w:r w:rsidR="00162E9E">
        <w:t xml:space="preserve">focus </w:t>
      </w:r>
      <w:r w:rsidR="006E6324">
        <w:t>for initial conversations, which centred on</w:t>
      </w:r>
      <w:r w:rsidR="00D77E6A">
        <w:t xml:space="preserve"> discovering</w:t>
      </w:r>
      <w:r w:rsidR="00162E9E">
        <w:t xml:space="preserve"> what I could help others to achieve not what I wanted from them. </w:t>
      </w:r>
      <w:r w:rsidR="006E6324">
        <w:t>It also allowed me to succinctly capture key information in an easily accessible format.</w:t>
      </w:r>
    </w:p>
    <w:p w14:paraId="2F80A809" w14:textId="77777777" w:rsidR="006E6324" w:rsidRPr="006E6324" w:rsidRDefault="006E6324">
      <w:pPr>
        <w:rPr>
          <w:b/>
        </w:rPr>
      </w:pPr>
      <w:r>
        <w:rPr>
          <w:b/>
        </w:rPr>
        <w:t>Result</w:t>
      </w:r>
      <w:r w:rsidRPr="006E6324">
        <w:rPr>
          <w:b/>
        </w:rPr>
        <w:t>:</w:t>
      </w:r>
    </w:p>
    <w:p w14:paraId="75BB28C0" w14:textId="77777777" w:rsidR="006E6324" w:rsidRDefault="00162E9E">
      <w:r>
        <w:t>A result of this has been substantial growth in resources for and engagement in student enterprise at Durham University.</w:t>
      </w:r>
      <w:r w:rsidR="006E6324">
        <w:t xml:space="preserve"> We have developed effective strategic partners both internally, with other departments, and externally, with partners who have an interest in support entrepreneurship at Durham University. Outcomes of this include; </w:t>
      </w:r>
    </w:p>
    <w:p w14:paraId="28173288" w14:textId="77777777" w:rsidR="006E6324" w:rsidRDefault="006E6324" w:rsidP="006E6324">
      <w:pPr>
        <w:pStyle w:val="ListParagraph"/>
        <w:numPr>
          <w:ilvl w:val="0"/>
          <w:numId w:val="1"/>
        </w:numPr>
      </w:pPr>
      <w:r>
        <w:t>Increasing staff levels for student enterprise from 1.6. to 3.2 FTE</w:t>
      </w:r>
    </w:p>
    <w:p w14:paraId="1CFA4AB9" w14:textId="77777777" w:rsidR="006E6324" w:rsidRDefault="006E6324" w:rsidP="006E6324">
      <w:pPr>
        <w:pStyle w:val="ListParagraph"/>
        <w:numPr>
          <w:ilvl w:val="0"/>
          <w:numId w:val="1"/>
        </w:numPr>
      </w:pPr>
      <w:r>
        <w:t>A substantial increase of non-staff budget for curricular and extra-curricular student enterprise activity</w:t>
      </w:r>
    </w:p>
    <w:p w14:paraId="49116157" w14:textId="77777777" w:rsidR="006E6324" w:rsidRDefault="006E6324" w:rsidP="006E6324">
      <w:pPr>
        <w:pStyle w:val="ListParagraph"/>
        <w:numPr>
          <w:ilvl w:val="0"/>
          <w:numId w:val="1"/>
        </w:numPr>
      </w:pPr>
      <w:r>
        <w:t>Funding for a new enterprise centre to be built on campus</w:t>
      </w:r>
    </w:p>
    <w:p w14:paraId="3AD0210B" w14:textId="77777777" w:rsidR="00162E9E" w:rsidRDefault="006E6324" w:rsidP="006E6324">
      <w:pPr>
        <w:pStyle w:val="ListParagraph"/>
        <w:numPr>
          <w:ilvl w:val="0"/>
          <w:numId w:val="1"/>
        </w:numPr>
      </w:pPr>
      <w:r>
        <w:t>Funding to pilot a pre-accelerator programme aimed at graduates of the University</w:t>
      </w:r>
    </w:p>
    <w:p w14:paraId="5D90860D" w14:textId="77777777" w:rsidR="006E6324" w:rsidRDefault="006E6324" w:rsidP="006E6324">
      <w:pPr>
        <w:pStyle w:val="ListParagraph"/>
        <w:numPr>
          <w:ilvl w:val="0"/>
          <w:numId w:val="1"/>
        </w:numPr>
      </w:pPr>
      <w:r>
        <w:t>Specialist advice and mentoring for our student entrepreneurs</w:t>
      </w:r>
    </w:p>
    <w:p w14:paraId="0C737F83" w14:textId="77777777" w:rsidR="006E6324" w:rsidRDefault="006E6324" w:rsidP="006E6324">
      <w:pPr>
        <w:pStyle w:val="ListParagraph"/>
        <w:numPr>
          <w:ilvl w:val="0"/>
          <w:numId w:val="1"/>
        </w:numPr>
      </w:pPr>
      <w:r>
        <w:t>Positioning student enterprise as the fifth strand of the University’s ‘Wider Student Experience Strategy’</w:t>
      </w:r>
    </w:p>
    <w:p w14:paraId="45EF6F73" w14:textId="77777777" w:rsidR="006E6324" w:rsidRDefault="00A54A2D" w:rsidP="006E6324">
      <w:pPr>
        <w:pStyle w:val="ListParagraph"/>
        <w:numPr>
          <w:ilvl w:val="0"/>
          <w:numId w:val="1"/>
        </w:numPr>
      </w:pPr>
      <w:r>
        <w:t xml:space="preserve">Being able to offer a </w:t>
      </w:r>
      <w:proofErr w:type="spellStart"/>
      <w:r>
        <w:t>Startup</w:t>
      </w:r>
      <w:proofErr w:type="spellEnd"/>
      <w:r>
        <w:t xml:space="preserve"> Visa endorsement programme to our graduates</w:t>
      </w:r>
    </w:p>
    <w:p w14:paraId="0D9364B9" w14:textId="77777777" w:rsidR="00162E9E" w:rsidRDefault="00162E9E"/>
    <w:p w14:paraId="6A8BCDCB" w14:textId="77777777" w:rsidR="00A54A2D" w:rsidRDefault="00A54A2D"/>
    <w:p w14:paraId="1062D49E" w14:textId="77777777" w:rsidR="00A54A2D" w:rsidRDefault="00A54A2D"/>
    <w:p w14:paraId="3A836C25" w14:textId="77777777" w:rsidR="00A54A2D" w:rsidRDefault="00A54A2D"/>
    <w:tbl>
      <w:tblPr>
        <w:tblStyle w:val="TableGrid"/>
        <w:tblW w:w="0" w:type="auto"/>
        <w:tblLayout w:type="fixed"/>
        <w:tblLook w:val="04A0" w:firstRow="1" w:lastRow="0" w:firstColumn="1" w:lastColumn="0" w:noHBand="0" w:noVBand="1"/>
      </w:tblPr>
      <w:tblGrid>
        <w:gridCol w:w="2231"/>
        <w:gridCol w:w="2213"/>
        <w:gridCol w:w="2355"/>
        <w:gridCol w:w="2675"/>
        <w:gridCol w:w="2221"/>
        <w:gridCol w:w="2253"/>
      </w:tblGrid>
      <w:tr w:rsidR="00162E9E" w14:paraId="73C91952" w14:textId="77777777" w:rsidTr="00162E9E">
        <w:trPr>
          <w:trHeight w:val="422"/>
        </w:trPr>
        <w:tc>
          <w:tcPr>
            <w:tcW w:w="2231" w:type="dxa"/>
          </w:tcPr>
          <w:p w14:paraId="5ED88A80" w14:textId="77777777" w:rsidR="00162E9E" w:rsidRPr="00162E9E" w:rsidRDefault="00162E9E">
            <w:pPr>
              <w:rPr>
                <w:b/>
              </w:rPr>
            </w:pPr>
            <w:r w:rsidRPr="00162E9E">
              <w:rPr>
                <w:b/>
              </w:rPr>
              <w:lastRenderedPageBreak/>
              <w:t>Organisation / Department</w:t>
            </w:r>
          </w:p>
        </w:tc>
        <w:tc>
          <w:tcPr>
            <w:tcW w:w="2213" w:type="dxa"/>
          </w:tcPr>
          <w:p w14:paraId="34464025" w14:textId="77777777" w:rsidR="00162E9E" w:rsidRPr="00162E9E" w:rsidRDefault="00162E9E">
            <w:pPr>
              <w:rPr>
                <w:b/>
              </w:rPr>
            </w:pPr>
            <w:r>
              <w:rPr>
                <w:b/>
              </w:rPr>
              <w:t xml:space="preserve">Key Contact </w:t>
            </w:r>
            <w:r w:rsidRPr="00162E9E">
              <w:rPr>
                <w:b/>
              </w:rPr>
              <w:t>Name and Job Title</w:t>
            </w:r>
          </w:p>
        </w:tc>
        <w:tc>
          <w:tcPr>
            <w:tcW w:w="2355" w:type="dxa"/>
          </w:tcPr>
          <w:p w14:paraId="061797A6" w14:textId="77777777" w:rsidR="00162E9E" w:rsidRPr="00162E9E" w:rsidRDefault="00162E9E">
            <w:pPr>
              <w:rPr>
                <w:b/>
              </w:rPr>
            </w:pPr>
            <w:r w:rsidRPr="00162E9E">
              <w:rPr>
                <w:b/>
              </w:rPr>
              <w:t>Contact Details</w:t>
            </w:r>
          </w:p>
        </w:tc>
        <w:tc>
          <w:tcPr>
            <w:tcW w:w="2675" w:type="dxa"/>
          </w:tcPr>
          <w:p w14:paraId="5221645D" w14:textId="77777777" w:rsidR="00162E9E" w:rsidRPr="00162E9E" w:rsidRDefault="00162E9E">
            <w:pPr>
              <w:rPr>
                <w:b/>
              </w:rPr>
            </w:pPr>
            <w:r>
              <w:rPr>
                <w:b/>
              </w:rPr>
              <w:t>What</w:t>
            </w:r>
            <w:r w:rsidRPr="00162E9E">
              <w:rPr>
                <w:b/>
              </w:rPr>
              <w:t xml:space="preserve"> can I help them to achieve?</w:t>
            </w:r>
          </w:p>
        </w:tc>
        <w:tc>
          <w:tcPr>
            <w:tcW w:w="2221" w:type="dxa"/>
          </w:tcPr>
          <w:p w14:paraId="6614324D" w14:textId="77777777" w:rsidR="00162E9E" w:rsidRPr="00162E9E" w:rsidRDefault="00162E9E">
            <w:pPr>
              <w:rPr>
                <w:b/>
              </w:rPr>
            </w:pPr>
            <w:r>
              <w:rPr>
                <w:b/>
              </w:rPr>
              <w:t>What</w:t>
            </w:r>
            <w:r w:rsidRPr="00162E9E">
              <w:rPr>
                <w:b/>
              </w:rPr>
              <w:t xml:space="preserve"> can they help me to achieve?</w:t>
            </w:r>
          </w:p>
        </w:tc>
        <w:tc>
          <w:tcPr>
            <w:tcW w:w="2253" w:type="dxa"/>
          </w:tcPr>
          <w:p w14:paraId="2FDAB11B" w14:textId="77777777" w:rsidR="00162E9E" w:rsidRPr="00162E9E" w:rsidRDefault="00162E9E">
            <w:pPr>
              <w:rPr>
                <w:b/>
              </w:rPr>
            </w:pPr>
            <w:r w:rsidRPr="00162E9E">
              <w:rPr>
                <w:b/>
              </w:rPr>
              <w:t>Importance of the relationship (low/medium/high)</w:t>
            </w:r>
          </w:p>
        </w:tc>
      </w:tr>
      <w:tr w:rsidR="00162E9E" w14:paraId="24A34D19" w14:textId="77777777" w:rsidTr="00162E9E">
        <w:trPr>
          <w:trHeight w:val="211"/>
        </w:trPr>
        <w:tc>
          <w:tcPr>
            <w:tcW w:w="2231" w:type="dxa"/>
          </w:tcPr>
          <w:p w14:paraId="04DD47B1" w14:textId="77777777" w:rsidR="00162E9E" w:rsidRPr="00162E9E" w:rsidRDefault="00162E9E">
            <w:pPr>
              <w:rPr>
                <w:i/>
              </w:rPr>
            </w:pPr>
            <w:r w:rsidRPr="00162E9E">
              <w:rPr>
                <w:i/>
              </w:rPr>
              <w:t>Development and Alumni Relations</w:t>
            </w:r>
          </w:p>
        </w:tc>
        <w:tc>
          <w:tcPr>
            <w:tcW w:w="2213" w:type="dxa"/>
          </w:tcPr>
          <w:p w14:paraId="3814102B" w14:textId="77777777" w:rsidR="00162E9E" w:rsidRPr="00162E9E" w:rsidRDefault="00162E9E">
            <w:pPr>
              <w:rPr>
                <w:i/>
              </w:rPr>
            </w:pPr>
            <w:r>
              <w:rPr>
                <w:i/>
              </w:rPr>
              <w:t>Lauren Smith</w:t>
            </w:r>
          </w:p>
        </w:tc>
        <w:tc>
          <w:tcPr>
            <w:tcW w:w="2355" w:type="dxa"/>
          </w:tcPr>
          <w:p w14:paraId="74BD044E" w14:textId="77777777" w:rsidR="00162E9E" w:rsidRPr="00162E9E" w:rsidRDefault="009A0940">
            <w:pPr>
              <w:rPr>
                <w:i/>
              </w:rPr>
            </w:pPr>
            <w:hyperlink r:id="rId5" w:history="1">
              <w:r w:rsidR="00162E9E" w:rsidRPr="001B1E81">
                <w:rPr>
                  <w:rStyle w:val="Hyperlink"/>
                  <w:i/>
                </w:rPr>
                <w:t>Lauren.smith@durham.ac.uk</w:t>
              </w:r>
            </w:hyperlink>
            <w:r w:rsidR="00162E9E">
              <w:rPr>
                <w:i/>
              </w:rPr>
              <w:t xml:space="preserve"> </w:t>
            </w:r>
          </w:p>
        </w:tc>
        <w:tc>
          <w:tcPr>
            <w:tcW w:w="2675" w:type="dxa"/>
          </w:tcPr>
          <w:p w14:paraId="125B1781" w14:textId="77777777" w:rsidR="00162E9E" w:rsidRDefault="00D77E6A">
            <w:pPr>
              <w:rPr>
                <w:i/>
              </w:rPr>
            </w:pPr>
            <w:r>
              <w:rPr>
                <w:i/>
              </w:rPr>
              <w:t>Provide an exciting theme</w:t>
            </w:r>
            <w:r w:rsidR="00162E9E">
              <w:rPr>
                <w:i/>
              </w:rPr>
              <w:t xml:space="preserve"> for a fundraising campaign, helping them to</w:t>
            </w:r>
            <w:r>
              <w:rPr>
                <w:i/>
              </w:rPr>
              <w:t xml:space="preserve"> attract interest from alumni and</w:t>
            </w:r>
            <w:r w:rsidR="00162E9E">
              <w:rPr>
                <w:i/>
              </w:rPr>
              <w:t xml:space="preserve"> meet targets for </w:t>
            </w:r>
            <w:r>
              <w:rPr>
                <w:i/>
              </w:rPr>
              <w:t>amount raised. Also, provide opportunity for case studies showing how funds raised have made a significant difference to the University.</w:t>
            </w:r>
          </w:p>
          <w:p w14:paraId="4BA16A62" w14:textId="77777777" w:rsidR="00D77E6A" w:rsidRDefault="00D77E6A">
            <w:pPr>
              <w:rPr>
                <w:i/>
              </w:rPr>
            </w:pPr>
          </w:p>
          <w:p w14:paraId="0A7B0620" w14:textId="77777777" w:rsidR="00D77E6A" w:rsidRDefault="00D77E6A">
            <w:pPr>
              <w:rPr>
                <w:i/>
              </w:rPr>
            </w:pPr>
            <w:r>
              <w:rPr>
                <w:i/>
              </w:rPr>
              <w:t>Keep key alumni engaged with the University through strategic advisory boards positions and/or directly helping current students, as well as enterprise themed alumni networking events.</w:t>
            </w:r>
          </w:p>
          <w:p w14:paraId="2CA6A8E8" w14:textId="77777777" w:rsidR="00D77E6A" w:rsidRDefault="00D77E6A">
            <w:pPr>
              <w:rPr>
                <w:i/>
              </w:rPr>
            </w:pPr>
          </w:p>
          <w:p w14:paraId="10AA975D" w14:textId="77777777" w:rsidR="00D77E6A" w:rsidRPr="00162E9E" w:rsidRDefault="00D77E6A">
            <w:pPr>
              <w:rPr>
                <w:i/>
              </w:rPr>
            </w:pPr>
          </w:p>
        </w:tc>
        <w:tc>
          <w:tcPr>
            <w:tcW w:w="2221" w:type="dxa"/>
          </w:tcPr>
          <w:p w14:paraId="7B7D7E68" w14:textId="77777777" w:rsidR="00162E9E" w:rsidRDefault="00D77E6A">
            <w:pPr>
              <w:rPr>
                <w:i/>
              </w:rPr>
            </w:pPr>
            <w:r>
              <w:rPr>
                <w:i/>
              </w:rPr>
              <w:t>Raise significant investment for large strategic student enterprise projects at the University.</w:t>
            </w:r>
          </w:p>
          <w:p w14:paraId="186761C1" w14:textId="77777777" w:rsidR="00D77E6A" w:rsidRDefault="00D77E6A">
            <w:pPr>
              <w:rPr>
                <w:i/>
              </w:rPr>
            </w:pPr>
          </w:p>
          <w:p w14:paraId="511DFA43" w14:textId="77777777" w:rsidR="00D77E6A" w:rsidRDefault="00D77E6A">
            <w:pPr>
              <w:rPr>
                <w:i/>
              </w:rPr>
            </w:pPr>
            <w:r>
              <w:rPr>
                <w:i/>
              </w:rPr>
              <w:t>Advice and connections from experienced alumni entrepreneurs for both our service and for our student entrepreneurs.</w:t>
            </w:r>
          </w:p>
          <w:p w14:paraId="0616AB51" w14:textId="77777777" w:rsidR="00D77E6A" w:rsidRDefault="00D77E6A">
            <w:pPr>
              <w:rPr>
                <w:i/>
              </w:rPr>
            </w:pPr>
          </w:p>
          <w:p w14:paraId="2EB70723" w14:textId="77777777" w:rsidR="00D77E6A" w:rsidRPr="00162E9E" w:rsidRDefault="00D77E6A">
            <w:pPr>
              <w:rPr>
                <w:i/>
              </w:rPr>
            </w:pPr>
          </w:p>
        </w:tc>
        <w:tc>
          <w:tcPr>
            <w:tcW w:w="2253" w:type="dxa"/>
          </w:tcPr>
          <w:p w14:paraId="3E9992D8" w14:textId="77777777" w:rsidR="00162E9E" w:rsidRPr="00162E9E" w:rsidRDefault="00D77E6A">
            <w:pPr>
              <w:rPr>
                <w:i/>
              </w:rPr>
            </w:pPr>
            <w:r>
              <w:rPr>
                <w:i/>
              </w:rPr>
              <w:t>High</w:t>
            </w:r>
          </w:p>
        </w:tc>
      </w:tr>
      <w:tr w:rsidR="00162E9E" w14:paraId="441C43D0" w14:textId="77777777" w:rsidTr="00162E9E">
        <w:trPr>
          <w:trHeight w:val="203"/>
        </w:trPr>
        <w:tc>
          <w:tcPr>
            <w:tcW w:w="2231" w:type="dxa"/>
          </w:tcPr>
          <w:p w14:paraId="27D18FC0" w14:textId="77777777" w:rsidR="00162E9E" w:rsidRDefault="00162E9E"/>
        </w:tc>
        <w:tc>
          <w:tcPr>
            <w:tcW w:w="2213" w:type="dxa"/>
          </w:tcPr>
          <w:p w14:paraId="2D848028" w14:textId="77777777" w:rsidR="00162E9E" w:rsidRDefault="00162E9E"/>
        </w:tc>
        <w:tc>
          <w:tcPr>
            <w:tcW w:w="2355" w:type="dxa"/>
          </w:tcPr>
          <w:p w14:paraId="4F355C57" w14:textId="77777777" w:rsidR="00162E9E" w:rsidRDefault="00162E9E"/>
        </w:tc>
        <w:tc>
          <w:tcPr>
            <w:tcW w:w="2675" w:type="dxa"/>
          </w:tcPr>
          <w:p w14:paraId="4D245F54" w14:textId="77777777" w:rsidR="00162E9E" w:rsidRDefault="00162E9E"/>
        </w:tc>
        <w:tc>
          <w:tcPr>
            <w:tcW w:w="2221" w:type="dxa"/>
          </w:tcPr>
          <w:p w14:paraId="0769FEAC" w14:textId="77777777" w:rsidR="00162E9E" w:rsidRDefault="00162E9E"/>
        </w:tc>
        <w:tc>
          <w:tcPr>
            <w:tcW w:w="2253" w:type="dxa"/>
          </w:tcPr>
          <w:p w14:paraId="085BC835" w14:textId="77777777" w:rsidR="00162E9E" w:rsidRDefault="00162E9E"/>
        </w:tc>
      </w:tr>
      <w:tr w:rsidR="00162E9E" w14:paraId="1826CBE6" w14:textId="77777777" w:rsidTr="00162E9E">
        <w:trPr>
          <w:trHeight w:val="211"/>
        </w:trPr>
        <w:tc>
          <w:tcPr>
            <w:tcW w:w="2231" w:type="dxa"/>
          </w:tcPr>
          <w:p w14:paraId="0B626300" w14:textId="77777777" w:rsidR="00162E9E" w:rsidRDefault="00162E9E"/>
        </w:tc>
        <w:tc>
          <w:tcPr>
            <w:tcW w:w="2213" w:type="dxa"/>
          </w:tcPr>
          <w:p w14:paraId="587CA1B5" w14:textId="77777777" w:rsidR="00162E9E" w:rsidRDefault="00162E9E"/>
        </w:tc>
        <w:tc>
          <w:tcPr>
            <w:tcW w:w="2355" w:type="dxa"/>
          </w:tcPr>
          <w:p w14:paraId="40548B20" w14:textId="77777777" w:rsidR="00162E9E" w:rsidRDefault="00162E9E"/>
        </w:tc>
        <w:tc>
          <w:tcPr>
            <w:tcW w:w="2675" w:type="dxa"/>
          </w:tcPr>
          <w:p w14:paraId="066A1376" w14:textId="77777777" w:rsidR="00162E9E" w:rsidRDefault="00162E9E"/>
        </w:tc>
        <w:tc>
          <w:tcPr>
            <w:tcW w:w="2221" w:type="dxa"/>
          </w:tcPr>
          <w:p w14:paraId="2E793843" w14:textId="77777777" w:rsidR="00162E9E" w:rsidRDefault="00162E9E"/>
        </w:tc>
        <w:tc>
          <w:tcPr>
            <w:tcW w:w="2253" w:type="dxa"/>
          </w:tcPr>
          <w:p w14:paraId="7B702420" w14:textId="77777777" w:rsidR="00162E9E" w:rsidRDefault="00162E9E"/>
        </w:tc>
      </w:tr>
      <w:tr w:rsidR="00162E9E" w14:paraId="2EFE0868" w14:textId="77777777" w:rsidTr="00162E9E">
        <w:trPr>
          <w:trHeight w:val="211"/>
        </w:trPr>
        <w:tc>
          <w:tcPr>
            <w:tcW w:w="2231" w:type="dxa"/>
          </w:tcPr>
          <w:p w14:paraId="2368FC2A" w14:textId="77777777" w:rsidR="00162E9E" w:rsidRDefault="00162E9E"/>
        </w:tc>
        <w:tc>
          <w:tcPr>
            <w:tcW w:w="2213" w:type="dxa"/>
          </w:tcPr>
          <w:p w14:paraId="0D9EA749" w14:textId="77777777" w:rsidR="00162E9E" w:rsidRDefault="00162E9E"/>
        </w:tc>
        <w:tc>
          <w:tcPr>
            <w:tcW w:w="2355" w:type="dxa"/>
          </w:tcPr>
          <w:p w14:paraId="1A844EB3" w14:textId="77777777" w:rsidR="00162E9E" w:rsidRDefault="00162E9E"/>
        </w:tc>
        <w:tc>
          <w:tcPr>
            <w:tcW w:w="2675" w:type="dxa"/>
          </w:tcPr>
          <w:p w14:paraId="60CBDED3" w14:textId="77777777" w:rsidR="00162E9E" w:rsidRDefault="00162E9E"/>
        </w:tc>
        <w:tc>
          <w:tcPr>
            <w:tcW w:w="2221" w:type="dxa"/>
          </w:tcPr>
          <w:p w14:paraId="08302E88" w14:textId="77777777" w:rsidR="00162E9E" w:rsidRDefault="00162E9E"/>
        </w:tc>
        <w:tc>
          <w:tcPr>
            <w:tcW w:w="2253" w:type="dxa"/>
          </w:tcPr>
          <w:p w14:paraId="3B75BDC5" w14:textId="77777777" w:rsidR="00162E9E" w:rsidRDefault="00162E9E"/>
        </w:tc>
      </w:tr>
    </w:tbl>
    <w:p w14:paraId="62954F74" w14:textId="77777777" w:rsidR="00162E9E" w:rsidRDefault="00162E9E"/>
    <w:p w14:paraId="1515EE88" w14:textId="77777777" w:rsidR="00C76360" w:rsidRDefault="00162E9E">
      <w:r>
        <w:t xml:space="preserve"> </w:t>
      </w:r>
    </w:p>
    <w:sectPr w:rsidR="00C76360" w:rsidSect="00162E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F6C5E"/>
    <w:multiLevelType w:val="hybridMultilevel"/>
    <w:tmpl w:val="B8A06892"/>
    <w:lvl w:ilvl="0" w:tplc="CF1E27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60"/>
    <w:rsid w:val="00162E9E"/>
    <w:rsid w:val="006E6324"/>
    <w:rsid w:val="009A0940"/>
    <w:rsid w:val="00A54A2D"/>
    <w:rsid w:val="00C76360"/>
    <w:rsid w:val="00D74760"/>
    <w:rsid w:val="00D7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039B"/>
  <w15:chartTrackingRefBased/>
  <w15:docId w15:val="{E60ADE7B-A557-46D9-862A-565F5026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2E9E"/>
    <w:rPr>
      <w:color w:val="0563C1" w:themeColor="hyperlink"/>
      <w:u w:val="single"/>
    </w:rPr>
  </w:style>
  <w:style w:type="paragraph" w:styleId="ListParagraph">
    <w:name w:val="List Paragraph"/>
    <w:basedOn w:val="Normal"/>
    <w:uiPriority w:val="34"/>
    <w:qFormat/>
    <w:rsid w:val="006E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en.smith@durh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TOKARSKI, MAREK</dc:creator>
  <cp:keywords/>
  <dc:description/>
  <cp:lastModifiedBy>Lynn O'Byrne</cp:lastModifiedBy>
  <cp:revision>2</cp:revision>
  <dcterms:created xsi:type="dcterms:W3CDTF">2020-06-16T13:43:00Z</dcterms:created>
  <dcterms:modified xsi:type="dcterms:W3CDTF">2020-06-16T13:43:00Z</dcterms:modified>
</cp:coreProperties>
</file>